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1A" w:rsidRPr="006C4D06" w:rsidRDefault="006C4D06" w:rsidP="006C4D06">
      <w:pPr>
        <w:pStyle w:val="ConsPlusNormal"/>
        <w:jc w:val="center"/>
        <w:rPr>
          <w:b/>
          <w:sz w:val="28"/>
          <w:szCs w:val="28"/>
        </w:rPr>
      </w:pPr>
      <w:r w:rsidRPr="006C4D06">
        <w:rPr>
          <w:b/>
          <w:sz w:val="28"/>
          <w:szCs w:val="28"/>
        </w:rPr>
        <w:t>Порядок оплаты по договору об осуществлении технологического присоединения к электрическим сетям, особенности внесения платы отдельными группами потребителей</w:t>
      </w:r>
    </w:p>
    <w:p w:rsidR="006C4D06" w:rsidRPr="0068131A" w:rsidRDefault="006C4D06" w:rsidP="004D378C">
      <w:pPr>
        <w:pStyle w:val="ConsPlusNormal"/>
        <w:jc w:val="both"/>
        <w:rPr>
          <w:color w:val="00B050"/>
        </w:rPr>
      </w:pPr>
    </w:p>
    <w:p w:rsidR="0004077A" w:rsidRDefault="006C4D06" w:rsidP="00FF49E1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</w:rPr>
      </w:pPr>
      <w:proofErr w:type="gramStart"/>
      <w:r>
        <w:rPr>
          <w:rFonts w:ascii="Times New Roman" w:hAnsi="Times New Roman" w:cs="Times New Roman"/>
          <w:b w:val="0"/>
        </w:rPr>
        <w:t>Порядок о</w:t>
      </w:r>
      <w:r w:rsidR="00EE7353" w:rsidRPr="0068131A">
        <w:rPr>
          <w:rFonts w:ascii="Times New Roman" w:hAnsi="Times New Roman" w:cs="Times New Roman"/>
          <w:b w:val="0"/>
        </w:rPr>
        <w:t xml:space="preserve">платы по договору об осуществлении технологического присоединения </w:t>
      </w:r>
      <w:r w:rsidR="00EE7353">
        <w:rPr>
          <w:rFonts w:ascii="Times New Roman" w:hAnsi="Times New Roman" w:cs="Times New Roman"/>
          <w:b w:val="0"/>
        </w:rPr>
        <w:t xml:space="preserve"> </w:t>
      </w:r>
      <w:r w:rsidR="00EE7353" w:rsidRPr="0068131A">
        <w:rPr>
          <w:rFonts w:ascii="Times New Roman" w:hAnsi="Times New Roman" w:cs="Times New Roman"/>
          <w:b w:val="0"/>
        </w:rPr>
        <w:t xml:space="preserve">к </w:t>
      </w:r>
      <w:r w:rsidR="00EE7353">
        <w:rPr>
          <w:rFonts w:ascii="Times New Roman" w:hAnsi="Times New Roman" w:cs="Times New Roman"/>
          <w:b w:val="0"/>
        </w:rPr>
        <w:t xml:space="preserve">  </w:t>
      </w:r>
      <w:r w:rsidR="00EE7353" w:rsidRPr="0068131A">
        <w:rPr>
          <w:rFonts w:ascii="Times New Roman" w:hAnsi="Times New Roman" w:cs="Times New Roman"/>
          <w:b w:val="0"/>
        </w:rPr>
        <w:t xml:space="preserve">электрическим </w:t>
      </w:r>
      <w:r w:rsidR="00EE7353">
        <w:rPr>
          <w:rFonts w:ascii="Times New Roman" w:hAnsi="Times New Roman" w:cs="Times New Roman"/>
          <w:b w:val="0"/>
        </w:rPr>
        <w:t xml:space="preserve">  </w:t>
      </w:r>
      <w:r w:rsidR="00EE7353" w:rsidRPr="0068131A">
        <w:rPr>
          <w:rFonts w:ascii="Times New Roman" w:hAnsi="Times New Roman" w:cs="Times New Roman"/>
          <w:b w:val="0"/>
        </w:rPr>
        <w:t>сетям</w:t>
      </w:r>
      <w:r>
        <w:rPr>
          <w:rFonts w:ascii="Times New Roman" w:hAnsi="Times New Roman" w:cs="Times New Roman"/>
          <w:b w:val="0"/>
        </w:rPr>
        <w:t xml:space="preserve"> </w:t>
      </w:r>
      <w:r w:rsidR="00EE7353">
        <w:rPr>
          <w:rFonts w:ascii="Times New Roman" w:hAnsi="Times New Roman" w:cs="Times New Roman"/>
          <w:b w:val="0"/>
        </w:rPr>
        <w:t>определ</w:t>
      </w:r>
      <w:r w:rsidR="00FF49E1">
        <w:rPr>
          <w:rFonts w:ascii="Times New Roman" w:hAnsi="Times New Roman" w:cs="Times New Roman"/>
          <w:b w:val="0"/>
        </w:rPr>
        <w:t>ен</w:t>
      </w:r>
      <w:r w:rsidR="00EE7353">
        <w:rPr>
          <w:rFonts w:ascii="Times New Roman" w:hAnsi="Times New Roman" w:cs="Times New Roman"/>
          <w:b w:val="0"/>
        </w:rPr>
        <w:t xml:space="preserve"> </w:t>
      </w:r>
      <w:r w:rsidR="00EE7353" w:rsidRPr="0068131A">
        <w:rPr>
          <w:rFonts w:ascii="Times New Roman" w:hAnsi="Times New Roman" w:cs="Times New Roman"/>
          <w:b w:val="0"/>
        </w:rPr>
        <w:t xml:space="preserve">п. 16(2). 16(4), 17, 30, 30.1, 30.3 </w:t>
      </w:r>
      <w:r w:rsidR="00EE7353" w:rsidRPr="00FF49E1">
        <w:rPr>
          <w:rFonts w:ascii="Times New Roman" w:hAnsi="Times New Roman" w:cs="Times New Roman"/>
          <w:i/>
        </w:rPr>
        <w:t xml:space="preserve"> </w:t>
      </w:r>
      <w:r w:rsidR="00EE7353" w:rsidRPr="00FF49E1">
        <w:rPr>
          <w:rFonts w:ascii="Times New Roman" w:hAnsi="Times New Roman" w:cs="Times New Roman"/>
          <w:i/>
          <w:color w:val="0000FF"/>
        </w:rPr>
        <w:t xml:space="preserve">«Правил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="00EE7353" w:rsidRPr="00FF49E1">
        <w:rPr>
          <w:rFonts w:ascii="Times New Roman" w:hAnsi="Times New Roman" w:cs="Times New Roman"/>
          <w:i/>
          <w:color w:val="0000FF"/>
        </w:rPr>
        <w:t>электросетевого</w:t>
      </w:r>
      <w:proofErr w:type="spellEnd"/>
      <w:r w:rsidR="00EE7353" w:rsidRPr="00FF49E1">
        <w:rPr>
          <w:rFonts w:ascii="Times New Roman" w:hAnsi="Times New Roman" w:cs="Times New Roman"/>
          <w:i/>
          <w:color w:val="0000FF"/>
        </w:rPr>
        <w:t xml:space="preserve"> хозяйства, принадлежащих сетевым организациям и иным лицам, к электрическим сетям»,</w:t>
      </w:r>
      <w:r w:rsidR="00EE7353" w:rsidRPr="006C4D06">
        <w:rPr>
          <w:rFonts w:ascii="Times New Roman" w:hAnsi="Times New Roman" w:cs="Times New Roman"/>
          <w:b w:val="0"/>
          <w:color w:val="0000FF"/>
        </w:rPr>
        <w:t xml:space="preserve"> </w:t>
      </w:r>
      <w:r w:rsidR="00EE7353">
        <w:rPr>
          <w:rFonts w:ascii="Times New Roman" w:hAnsi="Times New Roman" w:cs="Times New Roman"/>
          <w:b w:val="0"/>
        </w:rPr>
        <w:t>утвержденных  Постановлением  Правительства Российской Федерации от 27.12.2004 г.  № 861.</w:t>
      </w:r>
      <w:r w:rsidR="00EE7353" w:rsidRPr="0068131A">
        <w:rPr>
          <w:rFonts w:ascii="Times New Roman" w:hAnsi="Times New Roman" w:cs="Times New Roman"/>
          <w:b w:val="0"/>
          <w:color w:val="0070C0"/>
        </w:rPr>
        <w:t xml:space="preserve"> </w:t>
      </w:r>
      <w:r w:rsidR="00EE7353">
        <w:rPr>
          <w:rFonts w:ascii="Times New Roman" w:hAnsi="Times New Roman" w:cs="Times New Roman"/>
          <w:b w:val="0"/>
        </w:rPr>
        <w:t xml:space="preserve"> </w:t>
      </w:r>
      <w:proofErr w:type="gramEnd"/>
    </w:p>
    <w:p w:rsidR="00FF49E1" w:rsidRPr="00FF49E1" w:rsidRDefault="0068131A" w:rsidP="00FF49E1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i/>
          <w:color w:val="0000FF"/>
        </w:rPr>
      </w:pPr>
      <w:r w:rsidRPr="0004077A">
        <w:rPr>
          <w:rFonts w:ascii="Times New Roman" w:hAnsi="Times New Roman" w:cs="Times New Roman"/>
          <w:b w:val="0"/>
        </w:rPr>
        <w:t xml:space="preserve">Размер платы за технологическое присоединение </w:t>
      </w:r>
      <w:r w:rsidR="00790026" w:rsidRPr="0004077A">
        <w:rPr>
          <w:rFonts w:ascii="Times New Roman" w:hAnsi="Times New Roman" w:cs="Times New Roman"/>
          <w:b w:val="0"/>
        </w:rPr>
        <w:t xml:space="preserve">к электрическим сетям </w:t>
      </w:r>
      <w:r w:rsidR="00FF49E1">
        <w:rPr>
          <w:rFonts w:ascii="Times New Roman" w:hAnsi="Times New Roman" w:cs="Times New Roman"/>
          <w:b w:val="0"/>
        </w:rPr>
        <w:t>АО «Магаданэлектросеть» устанавливается</w:t>
      </w:r>
      <w:r w:rsidRPr="0004077A">
        <w:rPr>
          <w:rFonts w:ascii="Times New Roman" w:hAnsi="Times New Roman" w:cs="Times New Roman"/>
          <w:b w:val="0"/>
        </w:rPr>
        <w:t xml:space="preserve"> </w:t>
      </w:r>
      <w:r w:rsidR="00790026" w:rsidRPr="0004077A">
        <w:rPr>
          <w:rFonts w:ascii="Times New Roman" w:hAnsi="Times New Roman" w:cs="Times New Roman"/>
          <w:b w:val="0"/>
        </w:rPr>
        <w:t xml:space="preserve">в соответствии с </w:t>
      </w:r>
      <w:r w:rsidRPr="0004077A">
        <w:rPr>
          <w:rFonts w:ascii="Times New Roman" w:hAnsi="Times New Roman" w:cs="Times New Roman"/>
          <w:b w:val="0"/>
        </w:rPr>
        <w:t xml:space="preserve"> приказ</w:t>
      </w:r>
      <w:r w:rsidR="00790026" w:rsidRPr="0004077A">
        <w:rPr>
          <w:rFonts w:ascii="Times New Roman" w:hAnsi="Times New Roman" w:cs="Times New Roman"/>
          <w:b w:val="0"/>
        </w:rPr>
        <w:t>а</w:t>
      </w:r>
      <w:r w:rsidRPr="0004077A">
        <w:rPr>
          <w:rFonts w:ascii="Times New Roman" w:hAnsi="Times New Roman" w:cs="Times New Roman"/>
          <w:b w:val="0"/>
        </w:rPr>
        <w:t>м</w:t>
      </w:r>
      <w:r w:rsidR="00790026" w:rsidRPr="0004077A">
        <w:rPr>
          <w:rFonts w:ascii="Times New Roman" w:hAnsi="Times New Roman" w:cs="Times New Roman"/>
          <w:b w:val="0"/>
        </w:rPr>
        <w:t>и</w:t>
      </w:r>
      <w:r w:rsidRPr="0004077A">
        <w:rPr>
          <w:rFonts w:ascii="Times New Roman" w:hAnsi="Times New Roman" w:cs="Times New Roman"/>
          <w:b w:val="0"/>
        </w:rPr>
        <w:t xml:space="preserve"> Департамента цен и тарифов Администрации Магаданской области</w:t>
      </w:r>
      <w:r w:rsidR="00790026" w:rsidRPr="0004077A">
        <w:rPr>
          <w:rFonts w:ascii="Times New Roman" w:hAnsi="Times New Roman" w:cs="Times New Roman"/>
          <w:b w:val="0"/>
        </w:rPr>
        <w:t xml:space="preserve"> </w:t>
      </w:r>
      <w:r w:rsidRPr="0004077A">
        <w:rPr>
          <w:rFonts w:ascii="Times New Roman" w:hAnsi="Times New Roman" w:cs="Times New Roman"/>
          <w:b w:val="0"/>
        </w:rPr>
        <w:t xml:space="preserve"> от </w:t>
      </w:r>
      <w:r w:rsidR="00FF49E1">
        <w:rPr>
          <w:rFonts w:ascii="Times New Roman" w:hAnsi="Times New Roman" w:cs="Times New Roman"/>
          <w:b w:val="0"/>
        </w:rPr>
        <w:t xml:space="preserve">  </w:t>
      </w:r>
      <w:r w:rsidRPr="00FF49E1">
        <w:rPr>
          <w:rFonts w:ascii="Times New Roman" w:hAnsi="Times New Roman" w:cs="Times New Roman"/>
          <w:i/>
          <w:color w:val="0000FF"/>
        </w:rPr>
        <w:t>17.07.13 г.</w:t>
      </w:r>
      <w:r w:rsidR="00FF49E1" w:rsidRPr="00FF49E1">
        <w:rPr>
          <w:rFonts w:ascii="Times New Roman" w:hAnsi="Times New Roman" w:cs="Times New Roman"/>
          <w:i/>
          <w:color w:val="0000FF"/>
        </w:rPr>
        <w:t xml:space="preserve">  </w:t>
      </w:r>
      <w:r w:rsidRPr="00FF49E1">
        <w:rPr>
          <w:rFonts w:ascii="Times New Roman" w:hAnsi="Times New Roman" w:cs="Times New Roman"/>
          <w:i/>
          <w:color w:val="0000FF"/>
        </w:rPr>
        <w:t xml:space="preserve"> № 12-1/э</w:t>
      </w:r>
      <w:r w:rsidR="00FF49E1">
        <w:rPr>
          <w:rFonts w:ascii="Times New Roman" w:hAnsi="Times New Roman" w:cs="Times New Roman"/>
          <w:b w:val="0"/>
          <w:color w:val="0000FF"/>
        </w:rPr>
        <w:t xml:space="preserve">  </w:t>
      </w:r>
      <w:r w:rsidRPr="0004077A">
        <w:rPr>
          <w:rFonts w:ascii="Times New Roman" w:hAnsi="Times New Roman" w:cs="Times New Roman"/>
          <w:b w:val="0"/>
        </w:rPr>
        <w:t xml:space="preserve"> и </w:t>
      </w:r>
      <w:r w:rsidR="00FF49E1">
        <w:rPr>
          <w:rFonts w:ascii="Times New Roman" w:hAnsi="Times New Roman" w:cs="Times New Roman"/>
          <w:b w:val="0"/>
        </w:rPr>
        <w:t xml:space="preserve"> от  </w:t>
      </w:r>
      <w:r w:rsidRPr="00FF49E1">
        <w:rPr>
          <w:rFonts w:ascii="Times New Roman" w:hAnsi="Times New Roman" w:cs="Times New Roman"/>
          <w:i/>
          <w:color w:val="0000FF"/>
        </w:rPr>
        <w:t xml:space="preserve">29.12.18 г. </w:t>
      </w:r>
    </w:p>
    <w:p w:rsidR="0068131A" w:rsidRPr="00FF49E1" w:rsidRDefault="0068131A" w:rsidP="00FF49E1">
      <w:pPr>
        <w:pStyle w:val="ConsPlusTitle"/>
        <w:contextualSpacing/>
        <w:jc w:val="both"/>
        <w:rPr>
          <w:rFonts w:ascii="Times New Roman" w:hAnsi="Times New Roman" w:cs="Times New Roman"/>
          <w:i/>
          <w:color w:val="0000FF"/>
        </w:rPr>
      </w:pPr>
      <w:r w:rsidRPr="00FF49E1">
        <w:rPr>
          <w:rFonts w:ascii="Times New Roman" w:hAnsi="Times New Roman" w:cs="Times New Roman"/>
          <w:i/>
          <w:color w:val="0000FF"/>
        </w:rPr>
        <w:t>№ 61-1/э.</w:t>
      </w:r>
    </w:p>
    <w:p w:rsidR="00147541" w:rsidRDefault="00147541" w:rsidP="00FF49E1">
      <w:pPr>
        <w:pStyle w:val="ConsPlusNormal"/>
        <w:spacing w:before="240"/>
        <w:ind w:firstLine="539"/>
        <w:contextualSpacing/>
        <w:jc w:val="both"/>
      </w:pPr>
      <w:proofErr w:type="gramStart"/>
      <w:r>
        <w:t xml:space="preserve">Плата за технологическое присоединение энергопринимающих устройств максимальной мощностью, </w:t>
      </w:r>
      <w:r w:rsidRPr="0004077A">
        <w:rPr>
          <w:b/>
        </w:rPr>
        <w:t>не превышающей 15 кВт</w:t>
      </w:r>
      <w:r>
        <w:t xml:space="preserve"> включительно (с учетом ранее присоединенных в данной точке присоединения энергопринимающих устройств) устанавливается исходя из стоимости мероприятий по технологическому присоединению в размере не более </w:t>
      </w:r>
      <w:r w:rsidRPr="001C3D59">
        <w:rPr>
          <w:b/>
        </w:rPr>
        <w:t xml:space="preserve">550 рублей </w:t>
      </w:r>
      <w:r w:rsidR="001C3D59" w:rsidRPr="001C3D59">
        <w:rPr>
          <w:b/>
        </w:rPr>
        <w:t xml:space="preserve">(с учетом НДС) </w:t>
      </w:r>
      <w:r>
        <w:t>при присоединении заявителя, владеющего объектами, отнесенными к третьей категории надежности (по одному источнику электроснабжения) при условии, что расстояние от границ</w:t>
      </w:r>
      <w:proofErr w:type="gramEnd"/>
      <w:r>
        <w:t xml:space="preserve"> участка заявителя до объектов </w:t>
      </w:r>
      <w:proofErr w:type="spellStart"/>
      <w:r>
        <w:t>электросетевого</w:t>
      </w:r>
      <w:proofErr w:type="spellEnd"/>
      <w:r>
        <w:t xml:space="preserve"> хозяйства на уровне напряжения до 20 кВ включительно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  <w:r w:rsidR="001C3D59">
        <w:t xml:space="preserve"> </w:t>
      </w:r>
    </w:p>
    <w:p w:rsidR="00EE7353" w:rsidRDefault="00EE7353" w:rsidP="00586CD6">
      <w:pPr>
        <w:pStyle w:val="ConsPlusNormal"/>
        <w:spacing w:before="240"/>
        <w:ind w:firstLine="540"/>
        <w:contextualSpacing/>
        <w:jc w:val="both"/>
      </w:pPr>
      <w:r>
        <w:t>Данное положение не может быть применено в следующих случаях:</w:t>
      </w:r>
    </w:p>
    <w:p w:rsidR="00EE7353" w:rsidRDefault="00EE7353" w:rsidP="00586CD6">
      <w:pPr>
        <w:pStyle w:val="ConsPlusNormal"/>
        <w:numPr>
          <w:ilvl w:val="0"/>
          <w:numId w:val="1"/>
        </w:numPr>
        <w:spacing w:before="240"/>
        <w:contextualSpacing/>
        <w:jc w:val="both"/>
      </w:pPr>
      <w:r>
        <w:t xml:space="preserve">при технологическом присоединении энергопринимающих устройств, принадлежащих лицам, владеющим земельным участком по договору аренды, заключенному на срок не более одного года,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устройства;</w:t>
      </w:r>
    </w:p>
    <w:p w:rsidR="00EE7353" w:rsidRDefault="00EE7353" w:rsidP="00586CD6">
      <w:pPr>
        <w:pStyle w:val="ConsPlusNormal"/>
        <w:numPr>
          <w:ilvl w:val="0"/>
          <w:numId w:val="1"/>
        </w:numPr>
        <w:spacing w:before="240"/>
        <w:contextualSpacing/>
        <w:jc w:val="both"/>
      </w:pPr>
      <w:r>
        <w:t>при технологическом присоединении энергопринимающих устройств, расположенных в жилых помещениях многоквартирных домов.</w:t>
      </w:r>
    </w:p>
    <w:p w:rsidR="00EE7353" w:rsidRDefault="00EE7353" w:rsidP="00586CD6">
      <w:pPr>
        <w:pStyle w:val="ConsPlusNormal"/>
        <w:spacing w:before="240"/>
        <w:ind w:firstLine="709"/>
        <w:contextualSpacing/>
        <w:jc w:val="both"/>
      </w:pPr>
      <w:proofErr w:type="gramStart"/>
      <w:r>
        <w:t xml:space="preserve">В отношении </w:t>
      </w:r>
      <w:r w:rsidRPr="004A677D">
        <w:rPr>
          <w:b/>
        </w:rPr>
        <w:t xml:space="preserve">некоммерческих объединений (гаражно-строительных, гаражных кооперативов) </w:t>
      </w:r>
      <w:r>
        <w:t xml:space="preserve">размер платы за технологическое присоединение энергопринимающих </w:t>
      </w:r>
      <w:r w:rsidRPr="004A677D">
        <w:t>устройств не должен превышать 550 рублей</w:t>
      </w:r>
      <w:r w:rsidR="00586CD6" w:rsidRPr="004A677D">
        <w:t xml:space="preserve"> (с учетом НДС)</w:t>
      </w:r>
      <w:r w:rsidRPr="004A677D">
        <w:t xml:space="preserve">, умноженных на количество членов этих объединений, </w:t>
      </w:r>
      <w:r w:rsidRPr="0004077A">
        <w:rPr>
          <w:b/>
        </w:rPr>
        <w:t>при условии присоединения каждым членом такого объединения не более 15 кВт</w:t>
      </w:r>
      <w:r>
        <w:t xml:space="preserve"> по третьей категории надежности (по одному источнику электроснабжения) с учетом ранее присоединенных в данной точке присоединения энергопринимающих устройств при присоединении к</w:t>
      </w:r>
      <w:proofErr w:type="gramEnd"/>
      <w:r>
        <w:t xml:space="preserve">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</w:t>
      </w:r>
      <w:proofErr w:type="spellStart"/>
      <w:r>
        <w:t>электросетевого</w:t>
      </w:r>
      <w:proofErr w:type="spellEnd"/>
      <w:r>
        <w:t xml:space="preserve"> хозяйства сетевых организаций.</w:t>
      </w:r>
    </w:p>
    <w:p w:rsidR="00EE7353" w:rsidRDefault="00EE7353" w:rsidP="00586CD6">
      <w:pPr>
        <w:pStyle w:val="ConsPlusNormal"/>
        <w:spacing w:before="240"/>
        <w:ind w:firstLine="709"/>
        <w:contextualSpacing/>
        <w:jc w:val="both"/>
      </w:pPr>
      <w:proofErr w:type="gramStart"/>
      <w:r>
        <w:t xml:space="preserve">В отношении </w:t>
      </w:r>
      <w:r w:rsidRPr="004A677D">
        <w:rPr>
          <w:b/>
        </w:rPr>
        <w:t>садоводческих или огороднических некоммерческих товариществ</w:t>
      </w:r>
      <w:r>
        <w:t xml:space="preserve"> размер платы за технологическое присоединение энергопринимающих устройств </w:t>
      </w:r>
      <w:r w:rsidRPr="004A677D">
        <w:t>не должен превышать 550 рублей</w:t>
      </w:r>
      <w:r w:rsidR="004A677D" w:rsidRPr="004A677D">
        <w:t xml:space="preserve"> (</w:t>
      </w:r>
      <w:r w:rsidR="00586CD6" w:rsidRPr="004A677D">
        <w:t>с учетом НДС)</w:t>
      </w:r>
      <w:r w:rsidRPr="004A677D">
        <w:t xml:space="preserve">, умноженных на количество земельных участков, </w:t>
      </w:r>
      <w:r>
        <w:t xml:space="preserve">расположенных в границах территории садоводства или огородничества, </w:t>
      </w:r>
      <w:r w:rsidRPr="0004077A">
        <w:rPr>
          <w:b/>
        </w:rPr>
        <w:t>при условии присоединения на каждом земельном участке, расположенном в границах территории садоводства или огородничества, не более 15 кВт</w:t>
      </w:r>
      <w:r>
        <w:t xml:space="preserve"> по третьей категории надежности (по одному источнику электроснабжения</w:t>
      </w:r>
      <w:proofErr w:type="gramEnd"/>
      <w:r>
        <w:t xml:space="preserve">) </w:t>
      </w:r>
      <w:proofErr w:type="gramStart"/>
      <w:r>
        <w:t xml:space="preserve">с учетом </w:t>
      </w:r>
      <w:r>
        <w:lastRenderedPageBreak/>
        <w:t xml:space="preserve">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садоводческих или огороднических некоммерческих товариществ на расстоянии не более 300 метров в городах и поселках городского типа и не более 500 метров в сельской местности до существующих объектов </w:t>
      </w:r>
      <w:proofErr w:type="spellStart"/>
      <w:r>
        <w:t>электросетевого</w:t>
      </w:r>
      <w:proofErr w:type="spellEnd"/>
      <w:r>
        <w:t xml:space="preserve"> хозяйства сетевых</w:t>
      </w:r>
      <w:proofErr w:type="gramEnd"/>
      <w:r>
        <w:t xml:space="preserve"> организаций.</w:t>
      </w:r>
    </w:p>
    <w:p w:rsidR="00EE7353" w:rsidRDefault="00EE7353" w:rsidP="00586CD6">
      <w:pPr>
        <w:pStyle w:val="ConsPlusNormal"/>
        <w:spacing w:before="240"/>
        <w:ind w:firstLine="709"/>
        <w:contextualSpacing/>
        <w:jc w:val="both"/>
      </w:pPr>
      <w:proofErr w:type="gramStart"/>
      <w:r>
        <w:t xml:space="preserve">В отношении </w:t>
      </w:r>
      <w:r w:rsidRPr="004A677D">
        <w:rPr>
          <w:b/>
        </w:rPr>
        <w:t>граждан, объединивших свои гаражи и хозяйственные постройки (погреба, сараи)</w:t>
      </w:r>
      <w:r>
        <w:t>, размер платы за технологическое присоединение энергопринимающих устройств</w:t>
      </w:r>
      <w:r w:rsidRPr="004A677D">
        <w:t xml:space="preserve"> не должен превышать 550 рублей</w:t>
      </w:r>
      <w:r w:rsidR="00586CD6" w:rsidRPr="004A677D">
        <w:t xml:space="preserve"> (с учетом НДС)</w:t>
      </w:r>
      <w:r w:rsidRPr="004A677D">
        <w:t xml:space="preserve">, умноженных на количество таких граждан, </w:t>
      </w:r>
      <w:r w:rsidRPr="0004077A">
        <w:rPr>
          <w:b/>
        </w:rPr>
        <w:t>при условии присоединения каждым собственником этих построек не более 15 кВт</w:t>
      </w:r>
      <w:r>
        <w:t xml:space="preserve"> по третьей категории надежности (по одному источнику электроснабжения) с учетом ранее присоединенных в данной точке присоединения энергопринимающих устройств</w:t>
      </w:r>
      <w:proofErr w:type="gramEnd"/>
      <w:r>
        <w:t xml:space="preserve">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</w:t>
      </w:r>
      <w:proofErr w:type="spellStart"/>
      <w:r>
        <w:t>электросетевого</w:t>
      </w:r>
      <w:proofErr w:type="spellEnd"/>
      <w:r>
        <w:t xml:space="preserve"> хозяйства сетевых организаций.</w:t>
      </w:r>
    </w:p>
    <w:p w:rsidR="00EE7353" w:rsidRDefault="00EE7353" w:rsidP="00586CD6">
      <w:pPr>
        <w:pStyle w:val="ConsPlusNormal"/>
        <w:spacing w:before="240"/>
        <w:ind w:firstLine="709"/>
        <w:contextualSpacing/>
        <w:jc w:val="both"/>
      </w:pPr>
      <w:proofErr w:type="gramStart"/>
      <w:r>
        <w:t xml:space="preserve">Размер платы за технологическое присоединение энергопринимающих устройств </w:t>
      </w:r>
      <w:r w:rsidRPr="004A677D">
        <w:rPr>
          <w:b/>
        </w:rPr>
        <w:t>религиозных организаций</w:t>
      </w:r>
      <w:r>
        <w:t xml:space="preserve"> </w:t>
      </w:r>
      <w:r w:rsidRPr="004A677D">
        <w:t xml:space="preserve">не должен превышать 550 рублей </w:t>
      </w:r>
      <w:r w:rsidR="004A677D" w:rsidRPr="004A677D">
        <w:t>(с учетом НДС)</w:t>
      </w:r>
      <w:r w:rsidR="004A677D">
        <w:rPr>
          <w:b/>
        </w:rPr>
        <w:t xml:space="preserve"> </w:t>
      </w:r>
      <w:r>
        <w:t xml:space="preserve">при условии присоединения </w:t>
      </w:r>
      <w:r w:rsidRPr="0004077A">
        <w:rPr>
          <w:b/>
        </w:rPr>
        <w:t>не более 15 кВт</w:t>
      </w:r>
      <w:r>
        <w:t xml:space="preserve"> по третьей категории надежности (по одному источнику электроснабжения)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</w:t>
      </w:r>
      <w:proofErr w:type="gramEnd"/>
      <w:r>
        <w:t xml:space="preserve">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</w:t>
      </w:r>
      <w:proofErr w:type="spellStart"/>
      <w:r>
        <w:t>электросетевого</w:t>
      </w:r>
      <w:proofErr w:type="spellEnd"/>
      <w:r>
        <w:t xml:space="preserve"> хозяйства сетевых организаций.</w:t>
      </w:r>
    </w:p>
    <w:p w:rsidR="00790026" w:rsidRPr="00586CD6" w:rsidRDefault="00790026" w:rsidP="003A4E64">
      <w:pPr>
        <w:pStyle w:val="ConsPlusNormal"/>
        <w:spacing w:before="240"/>
        <w:ind w:firstLine="539"/>
        <w:contextualSpacing/>
        <w:jc w:val="both"/>
        <w:rPr>
          <w:b/>
          <w:i/>
          <w:u w:val="single"/>
        </w:rPr>
      </w:pPr>
      <w:proofErr w:type="gramStart"/>
      <w:r w:rsidRPr="00586CD6">
        <w:rPr>
          <w:b/>
          <w:i/>
        </w:rPr>
        <w:t xml:space="preserve">В границах муниципальных районов,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устройств, принадлежащих ему на праве собственности или на ином законном основании, с платой за технологическое присоединение в размере, не превышающем 550 рублей, </w:t>
      </w:r>
      <w:r w:rsidRPr="00586CD6">
        <w:rPr>
          <w:b/>
          <w:i/>
          <w:u w:val="single"/>
        </w:rPr>
        <w:t>не более одного раза в течение 3 лет.</w:t>
      </w:r>
      <w:proofErr w:type="gramEnd"/>
    </w:p>
    <w:p w:rsidR="0004077A" w:rsidRDefault="0004077A" w:rsidP="003A4E64">
      <w:pPr>
        <w:pStyle w:val="ConsPlusNormal"/>
        <w:spacing w:before="240"/>
        <w:ind w:firstLine="540"/>
        <w:contextualSpacing/>
        <w:jc w:val="both"/>
      </w:pPr>
      <w:r>
        <w:t>Внесение платы вышеуказанными заявителями осуществляется в порядке, предусмотренном условиями договора на осуществление технологического присоединения.</w:t>
      </w:r>
    </w:p>
    <w:p w:rsidR="00FF49E1" w:rsidRDefault="00FF49E1" w:rsidP="003A4E64">
      <w:pPr>
        <w:pStyle w:val="ConsPlusNormal"/>
        <w:spacing w:before="240"/>
        <w:ind w:firstLine="539"/>
        <w:contextualSpacing/>
        <w:jc w:val="both"/>
      </w:pPr>
    </w:p>
    <w:p w:rsidR="00790026" w:rsidRDefault="00790026" w:rsidP="003A4E64">
      <w:pPr>
        <w:pStyle w:val="ConsPlusNormal"/>
        <w:spacing w:before="240"/>
        <w:ind w:firstLine="539"/>
        <w:contextualSpacing/>
        <w:jc w:val="both"/>
      </w:pPr>
      <w:proofErr w:type="gramStart"/>
      <w:r>
        <w:t xml:space="preserve">Внесение платы </w:t>
      </w:r>
      <w:r w:rsidR="00965B6D" w:rsidRPr="00965B6D">
        <w:t>заявител</w:t>
      </w:r>
      <w:r w:rsidR="00965B6D">
        <w:t>ями</w:t>
      </w:r>
      <w:r w:rsidR="00965B6D" w:rsidRPr="00965B6D">
        <w:t xml:space="preserve"> - юридически</w:t>
      </w:r>
      <w:r w:rsidR="00965B6D">
        <w:t>ми</w:t>
      </w:r>
      <w:r w:rsidR="00965B6D" w:rsidRPr="00965B6D">
        <w:t xml:space="preserve"> лиц</w:t>
      </w:r>
      <w:r w:rsidR="00965B6D">
        <w:t>ами</w:t>
      </w:r>
      <w:r w:rsidR="00965B6D" w:rsidRPr="00965B6D">
        <w:t xml:space="preserve">  или индивидуальны</w:t>
      </w:r>
      <w:r w:rsidR="00965B6D">
        <w:t>ми</w:t>
      </w:r>
      <w:r w:rsidR="00965B6D" w:rsidRPr="00965B6D">
        <w:t xml:space="preserve"> предпринимател</w:t>
      </w:r>
      <w:r w:rsidR="00965B6D">
        <w:t xml:space="preserve">ями </w:t>
      </w:r>
      <w:r>
        <w:t xml:space="preserve">за технологическое присоединение энергопринимающих устройств с </w:t>
      </w:r>
      <w:r w:rsidRPr="003A4E64">
        <w:rPr>
          <w:b/>
        </w:rPr>
        <w:t>максимальной мощностью свыше 15 и до 150 кВт включительно</w:t>
      </w:r>
      <w:r>
        <w:t xml:space="preserve"> (с учетом ранее присоединенных в данной точке присоединения энергопринимающих устройств), а также заявителями,</w:t>
      </w:r>
      <w:r w:rsidRPr="004A677D">
        <w:t xml:space="preserve"> </w:t>
      </w:r>
      <w:r w:rsidR="00965B6D" w:rsidRPr="004A677D">
        <w:t xml:space="preserve">имеющими на праве собственности или на ином законном основании </w:t>
      </w:r>
      <w:proofErr w:type="spellStart"/>
      <w:r w:rsidR="00965B6D" w:rsidRPr="004A677D">
        <w:t>энергопринимающие</w:t>
      </w:r>
      <w:proofErr w:type="spellEnd"/>
      <w:r w:rsidR="00965B6D" w:rsidRPr="004A677D">
        <w:t xml:space="preserve"> устройства, в отношении которых до 1 января 2009 г. в установленном порядке было осуществлено</w:t>
      </w:r>
      <w:proofErr w:type="gramEnd"/>
      <w:r w:rsidR="00965B6D" w:rsidRPr="004A677D">
        <w:t xml:space="preserve"> технологическое присоединение к электрическим сетям, и заключившими соглашение с иными владельцами энергопринимающих устройств о снижении объема максимальной мощности собственных энергопринимающих устройств, указанной  в документах о технологическом присоединении, с одновременным перераспределением объема снижения максимальной мощности в пользу иных владельцев</w:t>
      </w:r>
      <w:r w:rsidR="004A677D">
        <w:rPr>
          <w:color w:val="00B050"/>
        </w:rPr>
        <w:t xml:space="preserve"> </w:t>
      </w:r>
      <w:r>
        <w:t>осуществляется в следующем порядке:</w:t>
      </w:r>
    </w:p>
    <w:p w:rsidR="00790026" w:rsidRDefault="00790026" w:rsidP="003A4E64">
      <w:pPr>
        <w:pStyle w:val="ConsPlusNormal"/>
        <w:spacing w:before="240"/>
        <w:ind w:firstLine="539"/>
        <w:contextualSpacing/>
        <w:jc w:val="both"/>
      </w:pPr>
      <w:r>
        <w:t xml:space="preserve">а) 15 процентов платы за технологическое присоединение вносятся в течение 15 дней </w:t>
      </w:r>
      <w:proofErr w:type="gramStart"/>
      <w:r>
        <w:t>с даты заключения</w:t>
      </w:r>
      <w:proofErr w:type="gramEnd"/>
      <w:r>
        <w:t xml:space="preserve"> договора;</w:t>
      </w:r>
    </w:p>
    <w:p w:rsidR="00790026" w:rsidRDefault="00790026" w:rsidP="003A4E64">
      <w:pPr>
        <w:pStyle w:val="ConsPlusNormal"/>
        <w:spacing w:before="240"/>
        <w:ind w:firstLine="539"/>
        <w:contextualSpacing/>
        <w:jc w:val="both"/>
      </w:pPr>
      <w:r>
        <w:t xml:space="preserve">б) 30 процентов платы за технологическое присоединение вносятся в течение 60 дней </w:t>
      </w:r>
      <w:proofErr w:type="gramStart"/>
      <w:r>
        <w:t>с даты заключения</w:t>
      </w:r>
      <w:proofErr w:type="gramEnd"/>
      <w:r>
        <w:t xml:space="preserve"> договора, но не позже даты фактического присоединения;</w:t>
      </w:r>
    </w:p>
    <w:p w:rsidR="00790026" w:rsidRDefault="00790026" w:rsidP="003A4E64">
      <w:pPr>
        <w:pStyle w:val="ConsPlusNormal"/>
        <w:spacing w:before="240"/>
        <w:ind w:firstLine="539"/>
        <w:contextualSpacing/>
        <w:jc w:val="both"/>
      </w:pPr>
      <w:r>
        <w:lastRenderedPageBreak/>
        <w:t>в) 45 процентов платы за технологическое присоединение вносятся в течение 15 дней со дня фактического присоединения;</w:t>
      </w:r>
    </w:p>
    <w:p w:rsidR="00790026" w:rsidRDefault="00790026" w:rsidP="003A4E64">
      <w:pPr>
        <w:pStyle w:val="ConsPlusNormal"/>
        <w:spacing w:before="240"/>
        <w:ind w:firstLine="539"/>
        <w:contextualSpacing/>
        <w:jc w:val="both"/>
      </w:pPr>
      <w:r>
        <w:t>г) 10 процентов платы за технологическое присоединение вносятся в течение 15 дней со дня подписания акта об осуществлении технологического присоединения.</w:t>
      </w:r>
    </w:p>
    <w:p w:rsidR="003A4E64" w:rsidRDefault="003A4E64" w:rsidP="003A4E64">
      <w:pPr>
        <w:pStyle w:val="ConsPlusNormal"/>
        <w:spacing w:before="240"/>
        <w:ind w:firstLine="540"/>
        <w:contextualSpacing/>
        <w:jc w:val="both"/>
      </w:pPr>
      <w:proofErr w:type="gramStart"/>
      <w:r>
        <w:t>По желанию</w:t>
      </w:r>
      <w:r w:rsidRPr="00965B6D">
        <w:t xml:space="preserve"> заявителей - юридических лиц  или индивидуальных предпринимателей, </w:t>
      </w:r>
      <w:r w:rsidRPr="0004077A">
        <w:rPr>
          <w:b/>
        </w:rPr>
        <w:t>максимальная мощность энергопринимающих устройств которых составляет свыше 15 и до 150 кВт включительно</w:t>
      </w:r>
      <w:r>
        <w:t xml:space="preserve"> (с учетом ранее присоединенных в данной точке присоединения энергопринимающих устройств), в договоре может быть предусмотрена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</w:t>
      </w:r>
      <w:proofErr w:type="gramEnd"/>
      <w:r>
        <w:t xml:space="preserve"> до 3 лет </w:t>
      </w:r>
      <w:proofErr w:type="gramStart"/>
      <w:r>
        <w:t>с даты подписания</w:t>
      </w:r>
      <w:proofErr w:type="gramEnd"/>
      <w:r>
        <w:t xml:space="preserve"> сторонами акта об осуществлении технологического присоединения. В этом случае денежные средства, в том числе проценты в связи с предоставлением рассрочки, вносятся равными платежами не позднее последнего рабочего дня II и IV кварталов соответствующего года. Указанные платежи рассчитываются исходя из сроков предоставления рассрочки и процентов, определенных в договоре в размере 6 процентов годовых остатка задолженности по плате за технологическое присоединение, установленной уполномоченным органом исполнительной власти в области государственного регулирования тарифов.</w:t>
      </w:r>
    </w:p>
    <w:p w:rsidR="00790026" w:rsidRDefault="00790026" w:rsidP="003A4E64">
      <w:pPr>
        <w:pStyle w:val="ConsPlusNormal"/>
        <w:spacing w:before="240"/>
        <w:ind w:firstLine="539"/>
        <w:contextualSpacing/>
        <w:jc w:val="both"/>
      </w:pPr>
      <w:r>
        <w:t xml:space="preserve">Для заявителей, максимальная мощность энергопринимающих устройств которых составляет </w:t>
      </w:r>
      <w:r w:rsidR="004A677D" w:rsidRPr="003A4E64">
        <w:rPr>
          <w:b/>
        </w:rPr>
        <w:t xml:space="preserve">свыше 150 и </w:t>
      </w:r>
      <w:r w:rsidRPr="003A4E64">
        <w:rPr>
          <w:b/>
        </w:rPr>
        <w:t>менее 670 кВт</w:t>
      </w:r>
      <w:r>
        <w:t>, внесение платы за технологическое присоединение</w:t>
      </w:r>
      <w:r w:rsidR="004A677D">
        <w:t xml:space="preserve"> </w:t>
      </w:r>
      <w:r>
        <w:t>осуществляется в следующем порядке:</w:t>
      </w:r>
    </w:p>
    <w:p w:rsidR="00790026" w:rsidRDefault="00790026" w:rsidP="003A4E64">
      <w:pPr>
        <w:pStyle w:val="ConsPlusNormal"/>
        <w:spacing w:before="240"/>
        <w:ind w:firstLine="539"/>
        <w:contextualSpacing/>
        <w:jc w:val="both"/>
      </w:pPr>
      <w:r>
        <w:t>а) 10 процентов платы за технологическое присоединение вносятся в течение 15 дней со дня заключения договора;</w:t>
      </w:r>
    </w:p>
    <w:p w:rsidR="00790026" w:rsidRDefault="00790026" w:rsidP="003A4E64">
      <w:pPr>
        <w:pStyle w:val="ConsPlusNormal"/>
        <w:spacing w:before="240"/>
        <w:ind w:firstLine="539"/>
        <w:contextualSpacing/>
        <w:jc w:val="both"/>
      </w:pPr>
      <w:r>
        <w:t>б) 30 процентов платы за технологическое присоединение вносятся в течение 60 дней со дня заключения договора;</w:t>
      </w:r>
    </w:p>
    <w:p w:rsidR="00790026" w:rsidRDefault="00790026" w:rsidP="003A4E64">
      <w:pPr>
        <w:pStyle w:val="ConsPlusNormal"/>
        <w:spacing w:before="240"/>
        <w:ind w:firstLine="539"/>
        <w:contextualSpacing/>
        <w:jc w:val="both"/>
      </w:pPr>
      <w:r>
        <w:t>в) 20 процентов платы за технологическое присоединение вносятся в течение 180 дней со дня заключения договора;</w:t>
      </w:r>
    </w:p>
    <w:p w:rsidR="00790026" w:rsidRDefault="00790026" w:rsidP="006C4D06">
      <w:pPr>
        <w:pStyle w:val="ConsPlusNormal"/>
        <w:spacing w:before="240"/>
        <w:ind w:firstLine="539"/>
        <w:contextualSpacing/>
        <w:jc w:val="both"/>
      </w:pPr>
      <w:r>
        <w:t>г) 30 процентов платы за технологическое присоединение вносятся в течение 15 дней со дня фактического присоединения;</w:t>
      </w:r>
    </w:p>
    <w:p w:rsidR="00790026" w:rsidRDefault="00790026" w:rsidP="006C4D06">
      <w:pPr>
        <w:pStyle w:val="ConsPlusNormal"/>
        <w:spacing w:before="240"/>
        <w:ind w:firstLine="539"/>
        <w:contextualSpacing/>
        <w:jc w:val="both"/>
      </w:pPr>
      <w:proofErr w:type="spellStart"/>
      <w:r>
        <w:t>д</w:t>
      </w:r>
      <w:proofErr w:type="spellEnd"/>
      <w:r>
        <w:t>) 10 процентов платы за технологическое присоединение вносятся в течение 10 дней со дня подписания акта об осуществлении технологического присоединения.</w:t>
      </w:r>
    </w:p>
    <w:p w:rsidR="00FF49E1" w:rsidRDefault="006C4D06" w:rsidP="006C4D06">
      <w:pPr>
        <w:pStyle w:val="ConsPlusNormal"/>
        <w:spacing w:before="240"/>
        <w:contextualSpacing/>
        <w:jc w:val="both"/>
      </w:pPr>
      <w:r>
        <w:t xml:space="preserve">         </w:t>
      </w:r>
    </w:p>
    <w:p w:rsidR="00147541" w:rsidRDefault="00FF49E1" w:rsidP="006C4D06">
      <w:pPr>
        <w:pStyle w:val="ConsPlusNormal"/>
        <w:spacing w:before="240"/>
        <w:contextualSpacing/>
        <w:jc w:val="both"/>
      </w:pPr>
      <w:r>
        <w:t xml:space="preserve">         </w:t>
      </w:r>
      <w:proofErr w:type="gramStart"/>
      <w:r w:rsidR="00147541">
        <w:t xml:space="preserve">В случае если у сетевой организации отсутствует техническая возможность технологического присоединения энергопринимающих устройств, указанных в заявке, </w:t>
      </w:r>
      <w:r w:rsidR="003A4E64">
        <w:t xml:space="preserve">и </w:t>
      </w:r>
      <w:r w:rsidR="00147541">
        <w:t xml:space="preserve">технологическое присоединение осуществляется </w:t>
      </w:r>
      <w:r w:rsidR="00147541" w:rsidRPr="006C4D06">
        <w:rPr>
          <w:b/>
        </w:rPr>
        <w:t>по индивидуальному проекту</w:t>
      </w:r>
      <w:r w:rsidR="00147541">
        <w:t xml:space="preserve"> в порядке, установленном</w:t>
      </w:r>
      <w:r w:rsidR="003A4E64">
        <w:t xml:space="preserve">  «</w:t>
      </w:r>
      <w:r w:rsidR="00147541">
        <w:t>Правилами</w:t>
      </w:r>
      <w:r w:rsidR="003A4E64">
        <w:t xml:space="preserve"> технологического присоединения…»</w:t>
      </w:r>
      <w:r w:rsidR="00147541">
        <w:t xml:space="preserve">, </w:t>
      </w:r>
      <w:r w:rsidR="003A4E64">
        <w:t>р</w:t>
      </w:r>
      <w:r w:rsidR="006C4D06">
        <w:t xml:space="preserve">азмер платы </w:t>
      </w:r>
      <w:r w:rsidR="00002418">
        <w:t xml:space="preserve">устанавливается </w:t>
      </w:r>
      <w:bookmarkStart w:id="0" w:name="Par1238"/>
      <w:bookmarkEnd w:id="0"/>
      <w:r w:rsidR="00147541">
        <w:t>уполномоченны</w:t>
      </w:r>
      <w:r w:rsidR="00002418">
        <w:t>м</w:t>
      </w:r>
      <w:r w:rsidR="00147541">
        <w:t xml:space="preserve"> орган</w:t>
      </w:r>
      <w:r w:rsidR="00002418">
        <w:t>ом</w:t>
      </w:r>
      <w:r w:rsidR="00147541">
        <w:t xml:space="preserve"> исполнительной власти в области государственного регулирования тарифов</w:t>
      </w:r>
      <w:r w:rsidR="006C4D06">
        <w:t xml:space="preserve"> </w:t>
      </w:r>
      <w:r w:rsidR="00147541">
        <w:t>с разбивкой стоимости по каждому мероприятию, необходимому для осуществления технологического присоединения</w:t>
      </w:r>
      <w:r w:rsidR="006C4D06">
        <w:t>.</w:t>
      </w:r>
      <w:proofErr w:type="gramEnd"/>
    </w:p>
    <w:p w:rsidR="00147541" w:rsidRDefault="00147541"/>
    <w:sectPr w:rsidR="00147541" w:rsidSect="00BB5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432F2"/>
    <w:multiLevelType w:val="hybridMultilevel"/>
    <w:tmpl w:val="3A041398"/>
    <w:lvl w:ilvl="0" w:tplc="5E429C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47541"/>
    <w:rsid w:val="00002418"/>
    <w:rsid w:val="0004077A"/>
    <w:rsid w:val="00147541"/>
    <w:rsid w:val="001C3D59"/>
    <w:rsid w:val="002C0660"/>
    <w:rsid w:val="003A4E64"/>
    <w:rsid w:val="004A677D"/>
    <w:rsid w:val="004D378C"/>
    <w:rsid w:val="00586CD6"/>
    <w:rsid w:val="0068131A"/>
    <w:rsid w:val="00686B34"/>
    <w:rsid w:val="006C4D06"/>
    <w:rsid w:val="00790026"/>
    <w:rsid w:val="0093680C"/>
    <w:rsid w:val="00965B6D"/>
    <w:rsid w:val="009D3A17"/>
    <w:rsid w:val="009F5B21"/>
    <w:rsid w:val="00BB5D4C"/>
    <w:rsid w:val="00EE7353"/>
    <w:rsid w:val="00FF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68131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Фёдоровна Светченко</dc:creator>
  <cp:lastModifiedBy>Светлана Фёдоровна Светченко</cp:lastModifiedBy>
  <cp:revision>4</cp:revision>
  <dcterms:created xsi:type="dcterms:W3CDTF">2019-01-30T01:33:00Z</dcterms:created>
  <dcterms:modified xsi:type="dcterms:W3CDTF">2019-01-30T23:09:00Z</dcterms:modified>
</cp:coreProperties>
</file>